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7151E8">
        <w:rPr>
          <w:sz w:val="24"/>
        </w:rPr>
        <w:t>07.07.2021 №556-к</w:t>
      </w:r>
      <w:bookmarkStart w:id="0" w:name="_GoBack"/>
      <w:bookmarkEnd w:id="0"/>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454117" w:rsidRPr="00454117" w:rsidRDefault="007768A3" w:rsidP="00454117">
      <w:pPr>
        <w:pStyle w:val="ac"/>
        <w:jc w:val="center"/>
        <w:rPr>
          <w:szCs w:val="28"/>
          <w:lang w:eastAsia="en-US"/>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начальника відділу </w:t>
      </w:r>
      <w:r w:rsidR="00454117" w:rsidRPr="00454117">
        <w:rPr>
          <w:szCs w:val="28"/>
          <w:lang w:eastAsia="en-US"/>
        </w:rPr>
        <w:t>планування, методичного забезпечення та аналізу інспекційної діяльності Управління з контролю за використанням та охороною земель;</w:t>
      </w:r>
    </w:p>
    <w:p w:rsidR="00D104F0" w:rsidRPr="003E72F7" w:rsidRDefault="00D104F0"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791990" w:rsidRPr="00791990" w:rsidRDefault="00AE7B97" w:rsidP="00791990">
            <w:pPr>
              <w:ind w:firstLine="0"/>
              <w:rPr>
                <w:sz w:val="24"/>
              </w:rPr>
            </w:pPr>
            <w:r w:rsidRPr="00454117">
              <w:rPr>
                <w:sz w:val="24"/>
              </w:rPr>
              <w:t xml:space="preserve">  </w:t>
            </w:r>
            <w:r w:rsidR="00D104F0" w:rsidRPr="00454117">
              <w:rPr>
                <w:sz w:val="24"/>
              </w:rPr>
              <w:t xml:space="preserve">  </w:t>
            </w:r>
            <w:r w:rsidR="00791990" w:rsidRPr="00791990">
              <w:rPr>
                <w:sz w:val="24"/>
              </w:rPr>
              <w:t>Здійснює керівництво відділом, несе персональну відповідальність за організацію та результати його діяльності</w:t>
            </w:r>
          </w:p>
          <w:p w:rsidR="00791990" w:rsidRPr="00791990" w:rsidRDefault="00791990" w:rsidP="00791990">
            <w:pPr>
              <w:ind w:firstLine="0"/>
              <w:rPr>
                <w:sz w:val="24"/>
              </w:rPr>
            </w:pPr>
            <w:r w:rsidRPr="00791990">
              <w:rPr>
                <w:sz w:val="24"/>
              </w:rPr>
              <w:t>Бере участь:</w:t>
            </w:r>
          </w:p>
          <w:p w:rsidR="00791990" w:rsidRPr="00791990" w:rsidRDefault="00791990" w:rsidP="00791990">
            <w:pPr>
              <w:ind w:firstLine="0"/>
              <w:rPr>
                <w:sz w:val="24"/>
              </w:rPr>
            </w:pPr>
            <w:r w:rsidRPr="00791990">
              <w:rPr>
                <w:sz w:val="24"/>
              </w:rPr>
              <w:t>у організації роботи структурних підрозділів Управління щодо здійснення державного нагляду (контролю) за додержанням вимог земельного законодавства, використанням та охороною земель усіх категорій та форм власності;</w:t>
            </w:r>
          </w:p>
          <w:p w:rsidR="00791990" w:rsidRPr="00791990" w:rsidRDefault="00791990" w:rsidP="00791990">
            <w:pPr>
              <w:ind w:firstLine="0"/>
              <w:rPr>
                <w:sz w:val="24"/>
              </w:rPr>
            </w:pPr>
            <w:r w:rsidRPr="00791990">
              <w:rPr>
                <w:sz w:val="24"/>
              </w:rPr>
              <w:t>у підготовці планів роботи Відділу, Управління (річних, піврічних) та контролю за їх виконанням структурними підрозділами;</w:t>
            </w:r>
          </w:p>
          <w:p w:rsidR="00791990" w:rsidRPr="00791990" w:rsidRDefault="00791990" w:rsidP="00791990">
            <w:pPr>
              <w:ind w:firstLine="0"/>
              <w:rPr>
                <w:sz w:val="24"/>
              </w:rPr>
            </w:pPr>
            <w:r w:rsidRPr="00791990">
              <w:rPr>
                <w:sz w:val="24"/>
              </w:rPr>
              <w:t>у здійсненні державного нагляду (контролю) у частині дотримання земельного законодавства, використання та охорони земель усіх категорій та форм власності.</w:t>
            </w:r>
          </w:p>
          <w:p w:rsidR="00791990" w:rsidRPr="00791990" w:rsidRDefault="00791990" w:rsidP="00791990">
            <w:pPr>
              <w:ind w:firstLine="0"/>
              <w:rPr>
                <w:sz w:val="24"/>
              </w:rPr>
            </w:pPr>
            <w:r w:rsidRPr="00791990">
              <w:rPr>
                <w:sz w:val="24"/>
              </w:rPr>
              <w:t>Організовує зберігання, облік та видачу державним інспекторам Управління матеріалів справ про адміністративні правопорушення.</w:t>
            </w:r>
          </w:p>
          <w:p w:rsidR="00791990" w:rsidRPr="00791990" w:rsidRDefault="00791990" w:rsidP="00791990">
            <w:pPr>
              <w:ind w:firstLine="0"/>
              <w:rPr>
                <w:sz w:val="24"/>
              </w:rPr>
            </w:pPr>
            <w:r w:rsidRPr="00791990">
              <w:rPr>
                <w:sz w:val="24"/>
              </w:rPr>
              <w:t>Вживає заходів до усунення порушень земельного законодавства. Приймає участь в узагальненні результатів роботи Управління з метою надання відповідної документації керівництву.</w:t>
            </w:r>
          </w:p>
          <w:p w:rsidR="00791990" w:rsidRPr="00791990" w:rsidRDefault="00791990" w:rsidP="00791990">
            <w:pPr>
              <w:ind w:firstLine="0"/>
              <w:rPr>
                <w:sz w:val="24"/>
              </w:rPr>
            </w:pPr>
            <w:r w:rsidRPr="00791990">
              <w:rPr>
                <w:sz w:val="24"/>
              </w:rPr>
              <w:t>Забезпечує ведення обліку порушень земельного законодавства і підготовки звітності за результатами роботи Управління. Здійснює аналіз інформації про результати роботи Відділу, Управління.</w:t>
            </w:r>
          </w:p>
          <w:p w:rsidR="00791990" w:rsidRPr="00791990" w:rsidRDefault="00791990" w:rsidP="00791990">
            <w:pPr>
              <w:ind w:firstLine="0"/>
              <w:rPr>
                <w:sz w:val="24"/>
              </w:rPr>
            </w:pPr>
            <w:r w:rsidRPr="00791990">
              <w:rPr>
                <w:sz w:val="24"/>
              </w:rPr>
              <w:t>Є старшим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791990" w:rsidRPr="00791990" w:rsidRDefault="00791990" w:rsidP="00791990">
            <w:pPr>
              <w:ind w:firstLine="0"/>
              <w:rPr>
                <w:sz w:val="24"/>
              </w:rPr>
            </w:pPr>
            <w:r w:rsidRPr="00791990">
              <w:rPr>
                <w:sz w:val="24"/>
              </w:rPr>
              <w:t xml:space="preserve">Здійснює: </w:t>
            </w:r>
          </w:p>
          <w:p w:rsidR="00791990" w:rsidRPr="00791990" w:rsidRDefault="00791990" w:rsidP="00791990">
            <w:pPr>
              <w:ind w:firstLine="0"/>
              <w:rPr>
                <w:sz w:val="24"/>
              </w:rPr>
            </w:pPr>
            <w:r w:rsidRPr="00791990">
              <w:rPr>
                <w:sz w:val="24"/>
              </w:rPr>
              <w:t xml:space="preserve">  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791990" w:rsidRPr="00791990" w:rsidRDefault="00791990" w:rsidP="00791990">
            <w:pPr>
              <w:ind w:firstLine="0"/>
              <w:rPr>
                <w:sz w:val="24"/>
              </w:rPr>
            </w:pPr>
            <w:r w:rsidRPr="00791990">
              <w:rPr>
                <w:sz w:val="24"/>
              </w:rPr>
              <w:t xml:space="preserve">  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791990" w:rsidRPr="00791990" w:rsidRDefault="00791990" w:rsidP="00791990">
            <w:pPr>
              <w:ind w:firstLine="0"/>
              <w:rPr>
                <w:sz w:val="24"/>
              </w:rPr>
            </w:pPr>
            <w:r w:rsidRPr="00791990">
              <w:rPr>
                <w:sz w:val="24"/>
              </w:rPr>
              <w:t xml:space="preserve">  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074DAD" w:rsidRPr="00791990" w:rsidRDefault="00791990" w:rsidP="00791990">
            <w:pPr>
              <w:pStyle w:val="14"/>
              <w:tabs>
                <w:tab w:val="left" w:pos="989"/>
              </w:tabs>
              <w:spacing w:after="0" w:line="240" w:lineRule="auto"/>
              <w:jc w:val="both"/>
              <w:rPr>
                <w:sz w:val="24"/>
                <w:szCs w:val="24"/>
                <w:lang w:val="ru-RU"/>
              </w:rPr>
            </w:pPr>
            <w:r w:rsidRPr="00791990">
              <w:rPr>
                <w:sz w:val="24"/>
                <w:lang w:val="uk-UA"/>
              </w:rPr>
              <w:lastRenderedPageBreak/>
              <w:t xml:space="preserve">   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791990">
            <w:pPr>
              <w:pStyle w:val="14"/>
              <w:tabs>
                <w:tab w:val="left" w:pos="989"/>
              </w:tabs>
              <w:ind w:left="121" w:right="40"/>
              <w:jc w:val="both"/>
              <w:rPr>
                <w:spacing w:val="-6"/>
                <w:sz w:val="24"/>
                <w:szCs w:val="24"/>
                <w:lang w:val="uk-UA"/>
              </w:rPr>
            </w:pPr>
            <w:r w:rsidRPr="00A3308B">
              <w:rPr>
                <w:spacing w:val="-6"/>
                <w:sz w:val="24"/>
                <w:szCs w:val="24"/>
                <w:lang w:val="uk-UA"/>
              </w:rPr>
              <w:t xml:space="preserve">Посадовий оклад – </w:t>
            </w:r>
            <w:r w:rsidR="00791990">
              <w:rPr>
                <w:spacing w:val="-6"/>
                <w:sz w:val="24"/>
                <w:szCs w:val="24"/>
                <w:lang w:val="uk-UA"/>
              </w:rPr>
              <w:t>7050</w:t>
            </w:r>
            <w:r w:rsidRPr="00A3308B">
              <w:rPr>
                <w:spacing w:val="-6"/>
                <w:sz w:val="24"/>
                <w:szCs w:val="24"/>
                <w:lang w:val="uk-UA"/>
              </w:rPr>
              <w:t xml:space="preserve"> 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D104F0">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w:t>
            </w:r>
            <w:r w:rsidR="00E5705E">
              <w:rPr>
                <w:spacing w:val="-6"/>
                <w:sz w:val="24"/>
                <w:szCs w:val="24"/>
                <w:lang w:val="uk-UA" w:eastAsia="uk-UA"/>
              </w:rPr>
              <w:t>і подається до 17 год. 00 хв. 15</w:t>
            </w:r>
            <w:r w:rsidR="00D104F0">
              <w:rPr>
                <w:spacing w:val="-6"/>
                <w:sz w:val="24"/>
                <w:szCs w:val="24"/>
                <w:lang w:val="uk-UA" w:eastAsia="uk-UA"/>
              </w:rPr>
              <w:t xml:space="preserve"> липня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236121">
              <w:rPr>
                <w:spacing w:val="-6"/>
                <w:lang w:val="uk-UA"/>
              </w:rPr>
              <w:t>20</w:t>
            </w:r>
            <w:r w:rsidR="00074DAD">
              <w:rPr>
                <w:spacing w:val="-6"/>
                <w:lang w:val="uk-UA"/>
              </w:rPr>
              <w:t xml:space="preserve"> липня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shd w:val="clear" w:color="auto" w:fill="FFFFFF"/>
              <w:spacing w:line="240" w:lineRule="atLeast"/>
              <w:ind w:left="121" w:firstLine="0"/>
              <w:rPr>
                <w:spacing w:val="-6"/>
                <w:sz w:val="22"/>
                <w:szCs w:val="22"/>
              </w:rPr>
            </w:pPr>
            <w:r w:rsidRPr="00CB25DE">
              <w:rPr>
                <w:spacing w:val="-6"/>
                <w:sz w:val="22"/>
                <w:szCs w:val="22"/>
              </w:rPr>
              <w:t xml:space="preserve">Вища освіта за освітнім ступенем не нижче магістра у галузі знань </w:t>
            </w:r>
            <w:r w:rsidR="00F966D9" w:rsidRPr="00CB25DE">
              <w:rPr>
                <w:spacing w:val="-6"/>
                <w:sz w:val="22"/>
                <w:szCs w:val="22"/>
              </w:rPr>
              <w:t xml:space="preserve">«Право», </w:t>
            </w:r>
            <w:r w:rsidR="00D4566B" w:rsidRPr="00CB25DE">
              <w:rPr>
                <w:spacing w:val="-6"/>
                <w:sz w:val="22"/>
                <w:szCs w:val="22"/>
              </w:rPr>
              <w:t>«Економіка та підприємництво»</w:t>
            </w:r>
            <w:r w:rsidR="00236121" w:rsidRPr="00CB25DE">
              <w:rPr>
                <w:spacing w:val="-6"/>
                <w:sz w:val="22"/>
                <w:szCs w:val="22"/>
              </w:rPr>
              <w:t>, «</w:t>
            </w:r>
            <w:r w:rsidR="00F966D9" w:rsidRPr="00CB25DE">
              <w:rPr>
                <w:spacing w:val="-6"/>
                <w:sz w:val="22"/>
                <w:szCs w:val="22"/>
              </w:rPr>
              <w:t>Землеустрій та кадастр»</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ind w:left="121" w:firstLine="0"/>
              <w:rPr>
                <w:rFonts w:eastAsia="Times New Roman"/>
                <w:spacing w:val="-6"/>
                <w:sz w:val="22"/>
                <w:szCs w:val="22"/>
              </w:rPr>
            </w:pPr>
            <w:r w:rsidRPr="00CB25DE">
              <w:rPr>
                <w:rStyle w:val="rvts0"/>
                <w:spacing w:val="-6"/>
                <w:sz w:val="22"/>
                <w:szCs w:val="22"/>
              </w:rPr>
              <w:t xml:space="preserve">Досвід роботи на посадах державної служби </w:t>
            </w:r>
            <w:hyperlink r:id="rId6" w:anchor="n86" w:history="1">
              <w:r w:rsidRPr="00CB25DE">
                <w:rPr>
                  <w:rStyle w:val="a3"/>
                  <w:color w:val="auto"/>
                  <w:spacing w:val="-6"/>
                  <w:sz w:val="22"/>
                  <w:szCs w:val="22"/>
                  <w:u w:val="none"/>
                </w:rPr>
                <w:t>категорій "Б"</w:t>
              </w:r>
            </w:hyperlink>
            <w:r w:rsidRPr="00CB25DE">
              <w:rPr>
                <w:rStyle w:val="rvts0"/>
                <w:spacing w:val="-6"/>
                <w:sz w:val="22"/>
                <w:szCs w:val="22"/>
              </w:rPr>
              <w:t xml:space="preserve"> чи </w:t>
            </w:r>
            <w:hyperlink r:id="rId7" w:anchor="n92" w:history="1">
              <w:r w:rsidRPr="00CB25DE">
                <w:rPr>
                  <w:rStyle w:val="a3"/>
                  <w:color w:val="auto"/>
                  <w:spacing w:val="-6"/>
                  <w:sz w:val="22"/>
                  <w:szCs w:val="22"/>
                  <w:u w:val="none"/>
                </w:rPr>
                <w:t>"В"</w:t>
              </w:r>
            </w:hyperlink>
            <w:r w:rsidRPr="00CB25DE">
              <w:rPr>
                <w:rStyle w:val="rvts0"/>
                <w:spacing w:val="-6"/>
                <w:sz w:val="22"/>
                <w:szCs w:val="22"/>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pStyle w:val="rvps14"/>
              <w:ind w:left="121"/>
              <w:rPr>
                <w:rFonts w:eastAsia="Times New Roman"/>
                <w:spacing w:val="-6"/>
                <w:sz w:val="22"/>
                <w:szCs w:val="22"/>
              </w:rPr>
            </w:pPr>
            <w:r w:rsidRPr="00CB25DE">
              <w:rPr>
                <w:rStyle w:val="rvts0"/>
                <w:spacing w:val="-6"/>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9F4963" w:rsidRPr="00CB25DE" w:rsidRDefault="00432255" w:rsidP="0043225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p>
          <w:p w:rsidR="00432255" w:rsidRPr="00CB25DE" w:rsidRDefault="009F4963" w:rsidP="00432255">
            <w:pPr>
              <w:ind w:firstLine="0"/>
              <w:rPr>
                <w:spacing w:val="-6"/>
                <w:sz w:val="22"/>
                <w:szCs w:val="22"/>
              </w:rPr>
            </w:pPr>
            <w:r w:rsidRPr="00CB25DE">
              <w:rPr>
                <w:spacing w:val="-6"/>
                <w:sz w:val="22"/>
                <w:szCs w:val="22"/>
              </w:rPr>
              <w:t>оптимізм</w:t>
            </w:r>
            <w:r w:rsidR="00432255"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усвідомлення важливості якісного виконання своїх посадових обов'язків з дотриманням строків та </w:t>
            </w:r>
            <w:r w:rsidRPr="00CB25DE">
              <w:rPr>
                <w:spacing w:val="-4"/>
                <w:sz w:val="22"/>
                <w:szCs w:val="22"/>
              </w:rPr>
              <w:lastRenderedPageBreak/>
              <w:t>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lastRenderedPageBreak/>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CB25DE">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tabs>
                <w:tab w:val="left" w:pos="4395"/>
              </w:tabs>
              <w:ind w:firstLine="0"/>
              <w:rPr>
                <w:color w:val="000000"/>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p w:rsidR="00CB25DE" w:rsidRPr="00CB25DE" w:rsidRDefault="00CB25DE" w:rsidP="00B9668F">
            <w:pPr>
              <w:tabs>
                <w:tab w:val="left" w:pos="4395"/>
              </w:tabs>
              <w:ind w:firstLine="0"/>
              <w:rPr>
                <w:spacing w:val="-4"/>
                <w:sz w:val="22"/>
                <w:szCs w:val="22"/>
              </w:rPr>
            </w:pP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2255"/>
    <w:rsid w:val="00437095"/>
    <w:rsid w:val="00447AAA"/>
    <w:rsid w:val="004507F8"/>
    <w:rsid w:val="00454117"/>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10E4A"/>
    <w:rsid w:val="007151E8"/>
    <w:rsid w:val="007258FD"/>
    <w:rsid w:val="0073351F"/>
    <w:rsid w:val="007347BD"/>
    <w:rsid w:val="007645C2"/>
    <w:rsid w:val="007658DF"/>
    <w:rsid w:val="007768A3"/>
    <w:rsid w:val="0078372B"/>
    <w:rsid w:val="00791990"/>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382A"/>
    <w:rsid w:val="00E35080"/>
    <w:rsid w:val="00E45C56"/>
    <w:rsid w:val="00E5705E"/>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9-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6764</Words>
  <Characters>3856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10599</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4</cp:revision>
  <cp:lastPrinted>2021-07-08T07:20:00Z</cp:lastPrinted>
  <dcterms:created xsi:type="dcterms:W3CDTF">2021-07-07T12:55:00Z</dcterms:created>
  <dcterms:modified xsi:type="dcterms:W3CDTF">2021-07-08T13:48:00Z</dcterms:modified>
</cp:coreProperties>
</file>